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1" w:rsidRDefault="00697801" w:rsidP="00697801">
      <w:pPr>
        <w:jc w:val="right"/>
        <w:rPr>
          <w:color w:val="000000"/>
        </w:rPr>
      </w:pPr>
      <w:r>
        <w:rPr>
          <w:color w:val="000000"/>
        </w:rPr>
        <w:t>Pielikums Nr.3</w:t>
      </w:r>
    </w:p>
    <w:p w:rsidR="00697801" w:rsidRDefault="00430C06" w:rsidP="00697801">
      <w:pPr>
        <w:jc w:val="right"/>
        <w:rPr>
          <w:color w:val="000000"/>
        </w:rPr>
      </w:pPr>
      <w:r>
        <w:rPr>
          <w:color w:val="000000"/>
        </w:rPr>
        <w:t>Iepirkuma n</w:t>
      </w:r>
      <w:r w:rsidR="00697801">
        <w:rPr>
          <w:color w:val="000000"/>
        </w:rPr>
        <w:t>olikumam</w:t>
      </w:r>
    </w:p>
    <w:p w:rsidR="00697801" w:rsidRDefault="00697801" w:rsidP="00697801">
      <w:pPr>
        <w:jc w:val="right"/>
        <w:rPr>
          <w:color w:val="000000"/>
        </w:rPr>
      </w:pPr>
      <w:proofErr w:type="spellStart"/>
      <w:r>
        <w:rPr>
          <w:color w:val="000000"/>
        </w:rPr>
        <w:t>Id.Nr</w:t>
      </w:r>
      <w:proofErr w:type="spellEnd"/>
      <w:r>
        <w:rPr>
          <w:color w:val="000000"/>
        </w:rPr>
        <w:t>. DPIP2015/03</w:t>
      </w:r>
    </w:p>
    <w:p w:rsidR="00697801" w:rsidRDefault="00697801" w:rsidP="00697801">
      <w:pPr>
        <w:pStyle w:val="ListParagraph"/>
        <w:ind w:left="1080"/>
        <w:jc w:val="right"/>
        <w:rPr>
          <w:b/>
        </w:rPr>
      </w:pPr>
    </w:p>
    <w:p w:rsidR="00697801" w:rsidRDefault="00697801" w:rsidP="006978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Tehniskā specifikācija, produktu kvalitātes apraksts – </w:t>
      </w:r>
    </w:p>
    <w:p w:rsidR="00697801" w:rsidRDefault="00697801" w:rsidP="00697801">
      <w:pPr>
        <w:jc w:val="center"/>
        <w:rPr>
          <w:b/>
          <w:color w:val="000000"/>
        </w:rPr>
      </w:pPr>
      <w:r>
        <w:rPr>
          <w:b/>
          <w:color w:val="000000"/>
        </w:rPr>
        <w:t>tehnikā un finanšu piedāvājuma forma</w:t>
      </w:r>
    </w:p>
    <w:p w:rsidR="00697801" w:rsidRPr="001729D7" w:rsidRDefault="00697801" w:rsidP="00697801">
      <w:pPr>
        <w:jc w:val="both"/>
      </w:pPr>
      <w:r>
        <w:t>1.</w:t>
      </w:r>
      <w:r w:rsidR="006E02EE">
        <w:t xml:space="preserve"> Minimālās prasības iegā</w:t>
      </w:r>
      <w:r w:rsidRPr="001729D7">
        <w:t xml:space="preserve">dājamajām precēm: </w:t>
      </w:r>
    </w:p>
    <w:p w:rsidR="00697801" w:rsidRPr="001729D7" w:rsidRDefault="00697801" w:rsidP="00697801">
      <w:pPr>
        <w:jc w:val="both"/>
      </w:pPr>
      <w:r>
        <w:t>1.1.</w:t>
      </w:r>
      <w:r w:rsidRPr="001729D7">
        <w:t xml:space="preserve"> </w:t>
      </w:r>
      <w:proofErr w:type="spellStart"/>
      <w:r w:rsidRPr="001729D7">
        <w:t>apakšminēto</w:t>
      </w:r>
      <w:proofErr w:type="spellEnd"/>
      <w:r w:rsidRPr="001729D7">
        <w:t xml:space="preserve"> pārtikas produktu kvalitātes prasības </w:t>
      </w:r>
      <w:r w:rsidRPr="008F2C2B">
        <w:rPr>
          <w:color w:val="000000"/>
        </w:rPr>
        <w:t>vismaz vienai pārtikas produktu daļai</w:t>
      </w:r>
      <w:r>
        <w:t xml:space="preserve"> </w:t>
      </w:r>
      <w:r w:rsidRPr="001729D7">
        <w:t xml:space="preserve">atbilst normatīvajiem aktiem par nacionālo pārtikas kvalitātes shēmu vai bioloģiskās lauksaimniecības shēmu, kā arī </w:t>
      </w:r>
      <w:proofErr w:type="spellStart"/>
      <w:r w:rsidRPr="001729D7">
        <w:t>apakšminēto</w:t>
      </w:r>
      <w:proofErr w:type="spellEnd"/>
      <w:r w:rsidRPr="001729D7">
        <w:t xml:space="preserve"> pārtikas produktu ražošanā neizmanto sintētiskā</w:t>
      </w:r>
      <w:r>
        <w:t>s krāsvielas un kas nesatur ģenē</w:t>
      </w:r>
      <w:r w:rsidRPr="001729D7">
        <w:t>tiski modificētus organismus, nesastāv no tiem un nav no tiem ražoti.</w:t>
      </w:r>
    </w:p>
    <w:p w:rsidR="00697801" w:rsidRPr="001729D7" w:rsidRDefault="00697801" w:rsidP="00697801">
      <w:pPr>
        <w:jc w:val="both"/>
      </w:pPr>
      <w:r>
        <w:t>1.2. maksimāli piedāvā</w:t>
      </w:r>
      <w:r w:rsidRPr="001729D7">
        <w:t>t Latvijas ražotāju un zemnieku produktus;</w:t>
      </w:r>
    </w:p>
    <w:p w:rsidR="00697801" w:rsidRPr="001729D7" w:rsidRDefault="00697801" w:rsidP="00697801">
      <w:pPr>
        <w:jc w:val="both"/>
        <w:rPr>
          <w:iCs/>
        </w:rPr>
      </w:pPr>
      <w:r>
        <w:t>1</w:t>
      </w:r>
      <w:r w:rsidRPr="001729D7">
        <w:t>.3. produkti safasēti atbilstoši drošības un higiēnas prasībām</w:t>
      </w:r>
      <w:r w:rsidRPr="001729D7">
        <w:rPr>
          <w:iCs/>
        </w:rPr>
        <w:t xml:space="preserve"> (Pasūtītājs pērk produktus iepakojumā, kas ir videi draudzīgs, vai kura lielākā daļa ir otrreizēji pārstrādājama);</w:t>
      </w:r>
    </w:p>
    <w:p w:rsidR="00697801" w:rsidRPr="001729D7" w:rsidRDefault="00697801" w:rsidP="00697801">
      <w:pPr>
        <w:jc w:val="both"/>
      </w:pPr>
      <w:r>
        <w:rPr>
          <w:iCs/>
        </w:rPr>
        <w:t>1</w:t>
      </w:r>
      <w:r w:rsidRPr="001729D7">
        <w:rPr>
          <w:iCs/>
        </w:rPr>
        <w:t xml:space="preserve">.4. </w:t>
      </w:r>
      <w:r w:rsidRPr="001729D7">
        <w:t>izmantot videi draudzīgu piegādi, lai samazinātu vides piesārņojumu ar autotransporta izplūdes gāzēm un ceļa infrastruktūras slodzi</w:t>
      </w:r>
      <w:r>
        <w:t>.</w:t>
      </w:r>
    </w:p>
    <w:p w:rsidR="00697801" w:rsidRPr="00697801" w:rsidRDefault="00697801" w:rsidP="00DA4515">
      <w:pPr>
        <w:rPr>
          <w:b/>
        </w:rPr>
      </w:pPr>
    </w:p>
    <w:p w:rsidR="00DA4515" w:rsidRPr="00697801" w:rsidRDefault="00DA4515" w:rsidP="00DA4515">
      <w:pPr>
        <w:rPr>
          <w:b/>
          <w:lang w:val="fr-FR"/>
        </w:rPr>
      </w:pPr>
      <w:proofErr w:type="spellStart"/>
      <w:r w:rsidRPr="000C18C4">
        <w:rPr>
          <w:b/>
          <w:lang w:val="fr-FR"/>
        </w:rPr>
        <w:t>Daļa</w:t>
      </w:r>
      <w:proofErr w:type="spellEnd"/>
      <w:r w:rsidRPr="000C18C4">
        <w:rPr>
          <w:b/>
          <w:lang w:val="fr-FR"/>
        </w:rPr>
        <w:t xml:space="preserve"> Nr.</w:t>
      </w:r>
      <w:r w:rsidR="00697801">
        <w:rPr>
          <w:b/>
          <w:lang w:val="fr-FR"/>
        </w:rPr>
        <w:t>1</w:t>
      </w:r>
      <w:r>
        <w:rPr>
          <w:b/>
          <w:lang w:val="fr-FR"/>
        </w:rPr>
        <w:t xml:space="preserve"> SALDĒTAS ZIVIS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DA4515" w:rsidRPr="00D92495" w:rsidTr="00EA125A">
        <w:trPr>
          <w:trHeight w:val="312"/>
        </w:trPr>
        <w:tc>
          <w:tcPr>
            <w:tcW w:w="671" w:type="dxa"/>
            <w:vMerge w:val="restart"/>
          </w:tcPr>
          <w:p w:rsidR="00DA4515" w:rsidRPr="00FE5BA7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65C03">
              <w:rPr>
                <w:b/>
                <w:i/>
                <w:sz w:val="20"/>
                <w:szCs w:val="20"/>
              </w:rPr>
              <w:t>Nr</w:t>
            </w:r>
            <w:proofErr w:type="spellEnd"/>
            <w:r w:rsidRPr="00176FC8">
              <w:rPr>
                <w:b/>
                <w:i/>
                <w:sz w:val="20"/>
                <w:szCs w:val="20"/>
                <w:lang w:val="en-US"/>
              </w:rPr>
              <w:t>.</w:t>
            </w:r>
          </w:p>
          <w:p w:rsidR="00DA4515" w:rsidRPr="00FE5BA7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FE5BA7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DA4515" w:rsidRPr="00176FC8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65C03">
              <w:rPr>
                <w:b/>
                <w:i/>
                <w:sz w:val="20"/>
                <w:szCs w:val="20"/>
              </w:rPr>
              <w:t>Produkti</w:t>
            </w:r>
          </w:p>
          <w:p w:rsidR="00DA4515" w:rsidRPr="00176FC8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65C03">
              <w:rPr>
                <w:b/>
                <w:i/>
                <w:sz w:val="20"/>
                <w:szCs w:val="20"/>
              </w:rPr>
              <w:t>un</w:t>
            </w:r>
            <w:r w:rsidRPr="00176FC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to</w:t>
            </w:r>
            <w:r w:rsidRPr="00176FC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nosaukums</w:t>
            </w:r>
          </w:p>
        </w:tc>
        <w:tc>
          <w:tcPr>
            <w:tcW w:w="1134" w:type="dxa"/>
            <w:vMerge w:val="restart"/>
          </w:tcPr>
          <w:p w:rsidR="00DA4515" w:rsidRPr="00176FC8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65C03">
              <w:rPr>
                <w:b/>
                <w:i/>
                <w:sz w:val="20"/>
                <w:szCs w:val="20"/>
              </w:rPr>
              <w:t>Plānotais</w:t>
            </w:r>
            <w:r w:rsidRPr="00176FC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apjoms</w:t>
            </w:r>
            <w:r w:rsidRPr="00176FC8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kg</w:t>
            </w:r>
          </w:p>
          <w:p w:rsidR="00DA4515" w:rsidRPr="00176FC8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176FC8">
              <w:rPr>
                <w:b/>
                <w:i/>
                <w:sz w:val="20"/>
                <w:szCs w:val="20"/>
                <w:lang w:val="en-US"/>
              </w:rPr>
              <w:t>(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B65C03">
              <w:rPr>
                <w:b/>
                <w:i/>
                <w:sz w:val="20"/>
                <w:szCs w:val="20"/>
              </w:rPr>
              <w:t>mēn</w:t>
            </w:r>
            <w:r w:rsidRPr="00176FC8">
              <w:rPr>
                <w:b/>
                <w:i/>
                <w:sz w:val="20"/>
                <w:szCs w:val="20"/>
                <w:lang w:val="en-US"/>
              </w:rPr>
              <w:t>.)</w:t>
            </w:r>
          </w:p>
        </w:tc>
        <w:tc>
          <w:tcPr>
            <w:tcW w:w="2926" w:type="dxa"/>
            <w:vMerge w:val="restart"/>
          </w:tcPr>
          <w:p w:rsidR="00DA4515" w:rsidRPr="00876173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Pasūtītāja m</w:t>
            </w:r>
            <w:r w:rsidRPr="00FE5BA7">
              <w:rPr>
                <w:b/>
                <w:i/>
                <w:sz w:val="20"/>
                <w:szCs w:val="20"/>
              </w:rPr>
              <w:t>inimālās kvalitātes p</w:t>
            </w:r>
            <w:r w:rsidRPr="00B65C03">
              <w:rPr>
                <w:b/>
                <w:i/>
                <w:sz w:val="20"/>
                <w:szCs w:val="20"/>
              </w:rPr>
              <w:t>rasības</w:t>
            </w:r>
            <w:r w:rsidRPr="00876173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produktiem</w:t>
            </w:r>
          </w:p>
        </w:tc>
        <w:tc>
          <w:tcPr>
            <w:tcW w:w="7280" w:type="dxa"/>
            <w:gridSpan w:val="6"/>
          </w:tcPr>
          <w:p w:rsidR="00DA4515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B65C03">
              <w:rPr>
                <w:b/>
                <w:i/>
                <w:sz w:val="20"/>
                <w:szCs w:val="20"/>
              </w:rPr>
              <w:t>Pretendenta</w:t>
            </w:r>
            <w:r w:rsidRPr="00FE5BA7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65C03">
              <w:rPr>
                <w:b/>
                <w:i/>
                <w:sz w:val="20"/>
                <w:szCs w:val="20"/>
              </w:rPr>
              <w:t>piedāvājums</w:t>
            </w:r>
          </w:p>
          <w:p w:rsidR="00DA4515" w:rsidRPr="00790CDD" w:rsidRDefault="00430C06" w:rsidP="00EA125A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5.</w:t>
            </w:r>
          </w:p>
        </w:tc>
        <w:tc>
          <w:tcPr>
            <w:tcW w:w="1134" w:type="dxa"/>
            <w:vMerge w:val="restart"/>
          </w:tcPr>
          <w:p w:rsidR="006E02EE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</w:p>
          <w:p w:rsidR="00DA4515" w:rsidRPr="006E02EE" w:rsidRDefault="006E02EE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6E02EE">
              <w:rPr>
                <w:b/>
                <w:i/>
                <w:sz w:val="20"/>
                <w:szCs w:val="20"/>
                <w:lang w:val="fr-FR"/>
              </w:rPr>
              <w:t>EURO</w:t>
            </w:r>
          </w:p>
        </w:tc>
        <w:tc>
          <w:tcPr>
            <w:tcW w:w="1276" w:type="dxa"/>
            <w:vMerge w:val="restart"/>
          </w:tcPr>
          <w:p w:rsidR="00DA4515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E5BA7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FE5BA7">
              <w:rPr>
                <w:b/>
                <w:i/>
                <w:sz w:val="20"/>
                <w:szCs w:val="20"/>
                <w:lang w:val="fr-FR"/>
              </w:rPr>
              <w:t xml:space="preserve"> PVN </w:t>
            </w:r>
          </w:p>
          <w:p w:rsidR="006E02EE" w:rsidRPr="00FE5BA7" w:rsidRDefault="006E02EE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r>
              <w:rPr>
                <w:b/>
                <w:i/>
                <w:sz w:val="20"/>
                <w:szCs w:val="20"/>
                <w:lang w:val="fr-FR"/>
              </w:rPr>
              <w:t>EURO</w:t>
            </w:r>
          </w:p>
        </w:tc>
      </w:tr>
      <w:tr w:rsidR="00DA4515" w:rsidRPr="00FE5BA7" w:rsidTr="00EA125A">
        <w:trPr>
          <w:trHeight w:val="598"/>
        </w:trPr>
        <w:tc>
          <w:tcPr>
            <w:tcW w:w="671" w:type="dxa"/>
            <w:vMerge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A4515" w:rsidRPr="00FE5BA7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697801" w:rsidRDefault="00697801" w:rsidP="00EA125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Produk</w:t>
            </w:r>
            <w:proofErr w:type="spellEnd"/>
          </w:p>
          <w:p w:rsidR="00697801" w:rsidRDefault="00697801" w:rsidP="00EA125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ta</w:t>
            </w:r>
            <w:proofErr w:type="spellEnd"/>
          </w:p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DA4515" w:rsidRPr="00B65C03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DA4515" w:rsidRPr="00FE5BA7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A4515" w:rsidRPr="00FE5BA7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A4515" w:rsidRPr="004E5FF5" w:rsidTr="00EA125A">
        <w:tc>
          <w:tcPr>
            <w:tcW w:w="671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1422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2.</w:t>
            </w:r>
          </w:p>
        </w:tc>
        <w:tc>
          <w:tcPr>
            <w:tcW w:w="1134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2926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</w:rPr>
            </w:pPr>
            <w:r w:rsidRPr="004E5FF5">
              <w:rPr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032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5.1</w:t>
            </w:r>
          </w:p>
        </w:tc>
        <w:tc>
          <w:tcPr>
            <w:tcW w:w="950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5.2</w:t>
            </w:r>
          </w:p>
        </w:tc>
        <w:tc>
          <w:tcPr>
            <w:tcW w:w="1161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5.3</w:t>
            </w:r>
          </w:p>
        </w:tc>
        <w:tc>
          <w:tcPr>
            <w:tcW w:w="1835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5.4</w:t>
            </w:r>
          </w:p>
        </w:tc>
        <w:tc>
          <w:tcPr>
            <w:tcW w:w="1026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5.5</w:t>
            </w:r>
          </w:p>
        </w:tc>
        <w:tc>
          <w:tcPr>
            <w:tcW w:w="1276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en-US"/>
              </w:rPr>
            </w:pPr>
            <w:r>
              <w:rPr>
                <w:b/>
                <w:i/>
                <w:sz w:val="12"/>
                <w:szCs w:val="12"/>
                <w:lang w:val="en-US"/>
              </w:rPr>
              <w:t>5.6</w:t>
            </w:r>
          </w:p>
        </w:tc>
        <w:tc>
          <w:tcPr>
            <w:tcW w:w="1134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6.</w:t>
            </w:r>
          </w:p>
        </w:tc>
        <w:tc>
          <w:tcPr>
            <w:tcW w:w="1276" w:type="dxa"/>
          </w:tcPr>
          <w:p w:rsidR="00DA4515" w:rsidRPr="004E5FF5" w:rsidRDefault="00DA4515" w:rsidP="00EA125A">
            <w:pPr>
              <w:jc w:val="center"/>
              <w:rPr>
                <w:b/>
                <w:i/>
                <w:sz w:val="12"/>
                <w:szCs w:val="12"/>
                <w:lang w:val="fr-FR"/>
              </w:rPr>
            </w:pPr>
            <w:r w:rsidRPr="004E5FF5">
              <w:rPr>
                <w:b/>
                <w:i/>
                <w:sz w:val="12"/>
                <w:szCs w:val="12"/>
                <w:lang w:val="fr-FR"/>
              </w:rPr>
              <w:t>7.</w:t>
            </w:r>
          </w:p>
        </w:tc>
      </w:tr>
      <w:tr w:rsidR="00DA4515" w:rsidRPr="00D92495" w:rsidTr="00EA125A">
        <w:tc>
          <w:tcPr>
            <w:tcW w:w="671" w:type="dxa"/>
          </w:tcPr>
          <w:p w:rsidR="00DA4515" w:rsidRPr="004F4E86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4515">
              <w:rPr>
                <w:sz w:val="20"/>
                <w:szCs w:val="20"/>
              </w:rPr>
              <w:t>.1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Saldēta </w:t>
            </w:r>
            <w:r w:rsidRPr="00A6582E">
              <w:rPr>
                <w:b/>
                <w:sz w:val="20"/>
              </w:rPr>
              <w:t>Argentīnas</w:t>
            </w:r>
            <w:r>
              <w:rPr>
                <w:b/>
                <w:sz w:val="20"/>
              </w:rPr>
              <w:t xml:space="preserve"> heka fileja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7000</w:t>
            </w:r>
          </w:p>
        </w:tc>
        <w:tc>
          <w:tcPr>
            <w:tcW w:w="2926" w:type="dxa"/>
          </w:tcPr>
          <w:p w:rsidR="00DA4515" w:rsidRDefault="00DA4515" w:rsidP="00EA125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Svaigi saldēta zivju fileja bez ādas, </w:t>
            </w:r>
            <w:r w:rsidRPr="00EF3417">
              <w:rPr>
                <w:b/>
                <w:sz w:val="20"/>
              </w:rPr>
              <w:t>bez ledus glazūras</w:t>
            </w:r>
            <w:r>
              <w:rPr>
                <w:sz w:val="20"/>
              </w:rPr>
              <w:t xml:space="preserve">, </w:t>
            </w:r>
            <w:r w:rsidRPr="00EF3417">
              <w:rPr>
                <w:sz w:val="20"/>
              </w:rPr>
              <w:t xml:space="preserve">bez asakām, </w:t>
            </w:r>
            <w:r>
              <w:rPr>
                <w:sz w:val="20"/>
              </w:rPr>
              <w:t>viegli atdalāma, bez redzamiem bojājumiem,</w:t>
            </w:r>
            <w:r>
              <w:t xml:space="preserve"> </w:t>
            </w:r>
            <w:r w:rsidRPr="00EF3417">
              <w:rPr>
                <w:sz w:val="20"/>
              </w:rPr>
              <w:t>augstākā labuma</w:t>
            </w:r>
            <w:r>
              <w:rPr>
                <w:sz w:val="20"/>
              </w:rPr>
              <w:t xml:space="preserve">. Fasējums no 4 līdz 10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4E5FF5" w:rsidRDefault="00DA4515" w:rsidP="00EA125A">
            <w:pPr>
              <w:rPr>
                <w:sz w:val="14"/>
                <w:szCs w:val="14"/>
              </w:rPr>
            </w:pPr>
          </w:p>
        </w:tc>
        <w:tc>
          <w:tcPr>
            <w:tcW w:w="950" w:type="dxa"/>
          </w:tcPr>
          <w:p w:rsidR="00DA4515" w:rsidRPr="004E5FF5" w:rsidRDefault="00DA4515" w:rsidP="00EA125A">
            <w:pPr>
              <w:rPr>
                <w:sz w:val="14"/>
                <w:szCs w:val="14"/>
              </w:rPr>
            </w:pPr>
          </w:p>
        </w:tc>
        <w:tc>
          <w:tcPr>
            <w:tcW w:w="1161" w:type="dxa"/>
          </w:tcPr>
          <w:p w:rsidR="00DA4515" w:rsidRPr="004E5FF5" w:rsidRDefault="00DA4515" w:rsidP="00EA125A">
            <w:pPr>
              <w:rPr>
                <w:sz w:val="14"/>
                <w:szCs w:val="14"/>
              </w:rPr>
            </w:pPr>
          </w:p>
        </w:tc>
        <w:tc>
          <w:tcPr>
            <w:tcW w:w="1835" w:type="dxa"/>
          </w:tcPr>
          <w:p w:rsidR="00DA4515" w:rsidRPr="004E5FF5" w:rsidRDefault="00DA4515" w:rsidP="00EA125A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</w:tcPr>
          <w:p w:rsidR="00DA4515" w:rsidRPr="004E5FF5" w:rsidRDefault="00DA4515" w:rsidP="00EA125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A4515" w:rsidRPr="004E5FF5" w:rsidRDefault="00DA4515" w:rsidP="00EA125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A4515" w:rsidRPr="006B5706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6B5706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5A2540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4515">
              <w:rPr>
                <w:sz w:val="20"/>
                <w:szCs w:val="20"/>
              </w:rPr>
              <w:t>.2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Saldēta </w:t>
            </w:r>
            <w:proofErr w:type="spellStart"/>
            <w:r>
              <w:rPr>
                <w:b/>
                <w:sz w:val="20"/>
              </w:rPr>
              <w:t>pangasiusa</w:t>
            </w:r>
            <w:proofErr w:type="spellEnd"/>
            <w:r>
              <w:rPr>
                <w:b/>
                <w:sz w:val="20"/>
              </w:rPr>
              <w:t xml:space="preserve"> fileja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8000</w:t>
            </w:r>
          </w:p>
        </w:tc>
        <w:tc>
          <w:tcPr>
            <w:tcW w:w="2926" w:type="dxa"/>
          </w:tcPr>
          <w:p w:rsidR="00DA4515" w:rsidRDefault="00DA4515" w:rsidP="00EA125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Svaigi saldēta zivju fileja bez ādas, </w:t>
            </w:r>
            <w:r w:rsidRPr="00EF3417">
              <w:rPr>
                <w:b/>
                <w:sz w:val="20"/>
              </w:rPr>
              <w:t>bez ledus glazūras</w:t>
            </w:r>
            <w:r>
              <w:rPr>
                <w:sz w:val="20"/>
              </w:rPr>
              <w:t xml:space="preserve">, </w:t>
            </w:r>
            <w:r w:rsidRPr="00EF3417">
              <w:rPr>
                <w:sz w:val="20"/>
              </w:rPr>
              <w:t xml:space="preserve">bez asakām, </w:t>
            </w:r>
            <w:r>
              <w:rPr>
                <w:sz w:val="20"/>
              </w:rPr>
              <w:t>viegli atdalāma, bez redzamiem bojājumiem,</w:t>
            </w:r>
            <w:r>
              <w:t xml:space="preserve"> </w:t>
            </w:r>
            <w:r w:rsidRPr="00EF3417">
              <w:rPr>
                <w:sz w:val="20"/>
              </w:rPr>
              <w:t>augstākā labuma</w:t>
            </w:r>
            <w:r>
              <w:rPr>
                <w:sz w:val="20"/>
              </w:rPr>
              <w:t xml:space="preserve">. Fasējums no 4 līdz 10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5A2540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4515">
              <w:rPr>
                <w:sz w:val="20"/>
                <w:szCs w:val="20"/>
              </w:rPr>
              <w:t>.3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BF6F84">
              <w:rPr>
                <w:b/>
                <w:sz w:val="20"/>
              </w:rPr>
              <w:t>Saldētas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mencas fileja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2500</w:t>
            </w:r>
          </w:p>
        </w:tc>
        <w:tc>
          <w:tcPr>
            <w:tcW w:w="2926" w:type="dxa"/>
          </w:tcPr>
          <w:p w:rsidR="00DA4515" w:rsidRDefault="00DA4515" w:rsidP="00EA125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Svaigi saldēta zivju fileja bez </w:t>
            </w:r>
            <w:r>
              <w:rPr>
                <w:sz w:val="20"/>
              </w:rPr>
              <w:lastRenderedPageBreak/>
              <w:t xml:space="preserve">ādas, </w:t>
            </w:r>
            <w:r w:rsidRPr="00EF3417">
              <w:rPr>
                <w:b/>
                <w:sz w:val="20"/>
              </w:rPr>
              <w:t>bez ledus glazūras</w:t>
            </w:r>
            <w:r>
              <w:rPr>
                <w:sz w:val="20"/>
              </w:rPr>
              <w:t xml:space="preserve">, </w:t>
            </w:r>
            <w:r w:rsidRPr="00EF3417">
              <w:rPr>
                <w:sz w:val="20"/>
              </w:rPr>
              <w:t xml:space="preserve">bez asakām, </w:t>
            </w:r>
            <w:r>
              <w:rPr>
                <w:sz w:val="20"/>
              </w:rPr>
              <w:t>viegli atdalāma, bez redzamiem bojājumiem,</w:t>
            </w:r>
            <w:r>
              <w:t xml:space="preserve"> </w:t>
            </w:r>
            <w:r w:rsidRPr="00EF3417">
              <w:rPr>
                <w:sz w:val="20"/>
              </w:rPr>
              <w:t>augstākā labuma</w:t>
            </w:r>
            <w:r>
              <w:rPr>
                <w:sz w:val="20"/>
              </w:rPr>
              <w:t xml:space="preserve">. Fasējums no 4 līdz 10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5A2540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A4515">
              <w:rPr>
                <w:sz w:val="20"/>
                <w:szCs w:val="20"/>
              </w:rPr>
              <w:t>.4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BF6F84">
              <w:rPr>
                <w:b/>
                <w:sz w:val="20"/>
              </w:rPr>
              <w:t>Saldētas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saidas</w:t>
            </w:r>
            <w:proofErr w:type="spellEnd"/>
            <w:r>
              <w:rPr>
                <w:b/>
                <w:sz w:val="20"/>
              </w:rPr>
              <w:t xml:space="preserve"> fileja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926" w:type="dxa"/>
          </w:tcPr>
          <w:p w:rsidR="00DA4515" w:rsidRDefault="00DA4515" w:rsidP="00EA125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Svaigi saldēta zivju fileja bez ādas, </w:t>
            </w:r>
            <w:r w:rsidRPr="00EF3417">
              <w:rPr>
                <w:b/>
                <w:sz w:val="20"/>
              </w:rPr>
              <w:t>bez ledus glazūras</w:t>
            </w:r>
            <w:r>
              <w:rPr>
                <w:sz w:val="20"/>
              </w:rPr>
              <w:t xml:space="preserve">, </w:t>
            </w:r>
            <w:r w:rsidRPr="00EF3417">
              <w:rPr>
                <w:sz w:val="20"/>
              </w:rPr>
              <w:t xml:space="preserve">bez asakām, </w:t>
            </w:r>
            <w:r>
              <w:rPr>
                <w:sz w:val="20"/>
              </w:rPr>
              <w:t>viegli atdalāma, bez redzamiem bojājumiem,</w:t>
            </w:r>
            <w:r>
              <w:t xml:space="preserve"> </w:t>
            </w:r>
            <w:r w:rsidRPr="00EF3417">
              <w:rPr>
                <w:sz w:val="20"/>
              </w:rPr>
              <w:t>augstākā labuma</w:t>
            </w:r>
            <w:r>
              <w:rPr>
                <w:sz w:val="20"/>
              </w:rPr>
              <w:t xml:space="preserve">. Fasējums no 4 līdz 10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4515">
              <w:rPr>
                <w:sz w:val="20"/>
                <w:szCs w:val="20"/>
              </w:rPr>
              <w:t>.5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Saldēta </w:t>
            </w:r>
          </w:p>
          <w:p w:rsidR="00DA4515" w:rsidRPr="00BF6F84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7821E7">
              <w:rPr>
                <w:b/>
                <w:sz w:val="20"/>
              </w:rPr>
              <w:t>aša fileja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926" w:type="dxa"/>
          </w:tcPr>
          <w:p w:rsidR="00DA4515" w:rsidRDefault="00DA4515" w:rsidP="00EA125A">
            <w:pPr>
              <w:pStyle w:val="BlockText"/>
              <w:ind w:left="0" w:right="-52" w:firstLine="0"/>
              <w:rPr>
                <w:sz w:val="20"/>
              </w:rPr>
            </w:pPr>
            <w:r>
              <w:rPr>
                <w:sz w:val="20"/>
              </w:rPr>
              <w:t xml:space="preserve">Svaigi saldēta zivju fileja bez ādas, </w:t>
            </w:r>
            <w:r w:rsidRPr="00EF3417">
              <w:rPr>
                <w:b/>
                <w:sz w:val="20"/>
              </w:rPr>
              <w:t>bez ledus glazūras</w:t>
            </w:r>
            <w:r>
              <w:rPr>
                <w:sz w:val="20"/>
              </w:rPr>
              <w:t xml:space="preserve">, </w:t>
            </w:r>
            <w:r w:rsidRPr="00EF3417">
              <w:rPr>
                <w:sz w:val="20"/>
              </w:rPr>
              <w:t xml:space="preserve">bez asakām, </w:t>
            </w:r>
            <w:r>
              <w:rPr>
                <w:sz w:val="20"/>
              </w:rPr>
              <w:t>viegli atdalāma, bez redzamiem bojājumiem,</w:t>
            </w:r>
            <w:r>
              <w:t xml:space="preserve"> </w:t>
            </w:r>
            <w:r w:rsidRPr="00EF3417">
              <w:rPr>
                <w:sz w:val="20"/>
              </w:rPr>
              <w:t>augstākā labuma</w:t>
            </w:r>
            <w:r>
              <w:rPr>
                <w:sz w:val="20"/>
              </w:rPr>
              <w:t xml:space="preserve">. Fasējums no 4 līdz 10 </w:t>
            </w:r>
            <w:r w:rsidRPr="00905E5B">
              <w:rPr>
                <w:sz w:val="20"/>
              </w:rPr>
              <w:t>kg, tīrā</w:t>
            </w:r>
            <w:r>
              <w:rPr>
                <w:sz w:val="20"/>
              </w:rPr>
              <w:t xml:space="preserve">, nebojātā </w:t>
            </w:r>
            <w:r w:rsidRPr="00905E5B">
              <w:rPr>
                <w:sz w:val="20"/>
              </w:rPr>
              <w:t xml:space="preserve">celofāna </w:t>
            </w:r>
            <w:r>
              <w:rPr>
                <w:sz w:val="20"/>
              </w:rPr>
              <w:t>iepakojumā un kartona kastē,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5A2540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4515">
              <w:rPr>
                <w:sz w:val="20"/>
                <w:szCs w:val="20"/>
              </w:rPr>
              <w:t>.6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Saldēt</w:t>
            </w:r>
            <w:r w:rsidRPr="00BF6F84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r w:rsidRPr="00A6582E">
              <w:rPr>
                <w:b/>
                <w:sz w:val="20"/>
              </w:rPr>
              <w:t>Argentīnas</w:t>
            </w:r>
            <w:r>
              <w:rPr>
                <w:b/>
                <w:sz w:val="20"/>
              </w:rPr>
              <w:t xml:space="preserve"> heka liemenis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26" w:type="dxa"/>
          </w:tcPr>
          <w:p w:rsidR="00DA4515" w:rsidRDefault="00DA4515" w:rsidP="00EA125A">
            <w:pPr>
              <w:pStyle w:val="BlockText"/>
              <w:ind w:left="0" w:right="176" w:firstLine="0"/>
              <w:rPr>
                <w:sz w:val="20"/>
              </w:rPr>
            </w:pPr>
            <w:r>
              <w:rPr>
                <w:sz w:val="20"/>
              </w:rPr>
              <w:t>Svaigs, saldēts, tīrīts, bez galvas,</w:t>
            </w:r>
            <w:proofErr w:type="gramStart"/>
            <w:r>
              <w:rPr>
                <w:sz w:val="20"/>
              </w:rPr>
              <w:t xml:space="preserve"> </w:t>
            </w:r>
            <w:r w:rsidRPr="00EF3417">
              <w:rPr>
                <w:b/>
                <w:sz w:val="20"/>
              </w:rPr>
              <w:t xml:space="preserve"> </w:t>
            </w:r>
            <w:proofErr w:type="gramEnd"/>
            <w:r w:rsidRPr="00EF3417">
              <w:rPr>
                <w:b/>
                <w:sz w:val="20"/>
              </w:rPr>
              <w:t>bez ledus glazūras</w:t>
            </w:r>
            <w:r>
              <w:rPr>
                <w:sz w:val="20"/>
              </w:rPr>
              <w:t>, viegli atdalāms, bez redzamiem bojājumiem,</w:t>
            </w:r>
            <w:r>
              <w:t xml:space="preserve"> </w:t>
            </w:r>
            <w:r w:rsidRPr="00EF3417">
              <w:rPr>
                <w:sz w:val="20"/>
              </w:rPr>
              <w:t>augstākā labuma</w:t>
            </w:r>
            <w:r>
              <w:rPr>
                <w:sz w:val="20"/>
              </w:rPr>
              <w:t>. Fasējums no 2 līdz 5</w:t>
            </w:r>
            <w:r w:rsidRPr="008E55AB">
              <w:rPr>
                <w:sz w:val="20"/>
              </w:rPr>
              <w:t xml:space="preserve"> kg, tīrā, nebojātā celofāna iepakojumā un kartona kastē</w:t>
            </w:r>
            <w:r>
              <w:rPr>
                <w:sz w:val="20"/>
              </w:rPr>
              <w:t>,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5A2540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4515">
              <w:rPr>
                <w:sz w:val="20"/>
                <w:szCs w:val="20"/>
              </w:rPr>
              <w:t>.7</w:t>
            </w:r>
          </w:p>
        </w:tc>
        <w:tc>
          <w:tcPr>
            <w:tcW w:w="1422" w:type="dxa"/>
          </w:tcPr>
          <w:p w:rsidR="00DA4515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Saldēt</w:t>
            </w:r>
            <w:r w:rsidRPr="00BF6F84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makruronusa</w:t>
            </w:r>
            <w:proofErr w:type="spellEnd"/>
            <w:r>
              <w:rPr>
                <w:b/>
                <w:sz w:val="20"/>
              </w:rPr>
              <w:t xml:space="preserve"> liemenis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926" w:type="dxa"/>
          </w:tcPr>
          <w:p w:rsidR="00DA4515" w:rsidRPr="00A40BAA" w:rsidRDefault="00DA4515" w:rsidP="00EA125A">
            <w:pPr>
              <w:ind w:right="176"/>
              <w:jc w:val="both"/>
              <w:rPr>
                <w:sz w:val="20"/>
                <w:lang w:val="en-US"/>
              </w:rPr>
            </w:pPr>
            <w:r w:rsidRPr="00A40BAA">
              <w:rPr>
                <w:sz w:val="20"/>
                <w:lang w:val="en-US"/>
              </w:rPr>
              <w:t>Svaigs, saldēts, tīr</w:t>
            </w:r>
            <w:r>
              <w:rPr>
                <w:sz w:val="20"/>
                <w:lang w:val="en-US"/>
              </w:rPr>
              <w:t>īts, bez galvas,</w:t>
            </w:r>
            <w:r w:rsidRPr="00EF3417">
              <w:rPr>
                <w:b/>
                <w:sz w:val="20"/>
              </w:rPr>
              <w:t xml:space="preserve"> bez ledus glazūras</w:t>
            </w:r>
            <w:proofErr w:type="gramStart"/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 xml:space="preserve"> viegli</w:t>
            </w:r>
            <w:proofErr w:type="gramEnd"/>
            <w:r>
              <w:rPr>
                <w:sz w:val="20"/>
                <w:lang w:val="en-US"/>
              </w:rPr>
              <w:t xml:space="preserve"> atdalāms</w:t>
            </w:r>
            <w:r w:rsidRPr="00A40BAA">
              <w:rPr>
                <w:sz w:val="20"/>
                <w:lang w:val="en-US"/>
              </w:rPr>
              <w:t>, bez redzamiem bojājumiem,</w:t>
            </w:r>
            <w:r w:rsidRPr="00A40BAA">
              <w:rPr>
                <w:lang w:val="en-US"/>
              </w:rPr>
              <w:t xml:space="preserve"> </w:t>
            </w:r>
            <w:r w:rsidRPr="00A40BAA">
              <w:rPr>
                <w:sz w:val="20"/>
                <w:lang w:val="en-US"/>
              </w:rPr>
              <w:t>augstākā labuma. Fasējums no 2 līdz 5 kg, tīrā, nebojātā celofāna iepakojumā un kartona kastē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 un </w:t>
            </w:r>
            <w:r w:rsidRPr="00821617">
              <w:rPr>
                <w:sz w:val="20"/>
              </w:rPr>
              <w:lastRenderedPageBreak/>
              <w:t>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5A2540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A4515">
              <w:rPr>
                <w:sz w:val="20"/>
                <w:szCs w:val="20"/>
              </w:rPr>
              <w:t>.8</w:t>
            </w:r>
          </w:p>
        </w:tc>
        <w:tc>
          <w:tcPr>
            <w:tcW w:w="1422" w:type="dxa"/>
          </w:tcPr>
          <w:p w:rsidR="00DA4515" w:rsidRPr="008E55AB" w:rsidRDefault="00DA4515" w:rsidP="00EA125A">
            <w:pPr>
              <w:ind w:right="-52"/>
              <w:rPr>
                <w:b/>
                <w:sz w:val="20"/>
              </w:rPr>
            </w:pPr>
            <w:r>
              <w:rPr>
                <w:b/>
                <w:sz w:val="20"/>
              </w:rPr>
              <w:t>Saldēt</w:t>
            </w:r>
            <w:r w:rsidRPr="00BF6F84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m</w:t>
            </w:r>
            <w:r w:rsidRPr="008E55AB">
              <w:rPr>
                <w:b/>
                <w:sz w:val="20"/>
              </w:rPr>
              <w:t>encas liemenis</w:t>
            </w:r>
          </w:p>
        </w:tc>
        <w:tc>
          <w:tcPr>
            <w:tcW w:w="1134" w:type="dxa"/>
          </w:tcPr>
          <w:p w:rsidR="00DA4515" w:rsidRPr="005152F5" w:rsidRDefault="00DA4515" w:rsidP="00EA125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2926" w:type="dxa"/>
          </w:tcPr>
          <w:p w:rsidR="00DA4515" w:rsidRPr="008E55AB" w:rsidRDefault="00DA4515" w:rsidP="00EA125A">
            <w:pPr>
              <w:ind w:right="176"/>
              <w:jc w:val="both"/>
              <w:rPr>
                <w:sz w:val="20"/>
              </w:rPr>
            </w:pPr>
            <w:r w:rsidRPr="00A40BAA">
              <w:rPr>
                <w:sz w:val="20"/>
                <w:lang w:val="en-US"/>
              </w:rPr>
              <w:t>Svaigs, saldēts, tīr</w:t>
            </w:r>
            <w:r>
              <w:rPr>
                <w:sz w:val="20"/>
                <w:lang w:val="en-US"/>
              </w:rPr>
              <w:t>īts, bez galvas,</w:t>
            </w:r>
            <w:r w:rsidRPr="00EF3417">
              <w:rPr>
                <w:b/>
                <w:sz w:val="20"/>
              </w:rPr>
              <w:t xml:space="preserve"> bez ledus glazūras</w:t>
            </w:r>
            <w:proofErr w:type="gramStart"/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 xml:space="preserve"> viegli</w:t>
            </w:r>
            <w:proofErr w:type="gramEnd"/>
            <w:r>
              <w:rPr>
                <w:sz w:val="20"/>
                <w:lang w:val="en-US"/>
              </w:rPr>
              <w:t xml:space="preserve"> atdalāms</w:t>
            </w:r>
            <w:r w:rsidRPr="00A40BAA">
              <w:rPr>
                <w:sz w:val="20"/>
                <w:lang w:val="en-US"/>
              </w:rPr>
              <w:t>, bez redzamiem bojājumiem,</w:t>
            </w:r>
            <w:r w:rsidRPr="00A40BAA">
              <w:rPr>
                <w:lang w:val="en-US"/>
              </w:rPr>
              <w:t xml:space="preserve"> </w:t>
            </w:r>
            <w:r w:rsidRPr="00A40BAA">
              <w:rPr>
                <w:sz w:val="20"/>
                <w:lang w:val="en-US"/>
              </w:rPr>
              <w:t>augstākā labuma. Fasējums no 2 līdz 5 kg, tīrā, nebojātā celofāna iepakojumā un kartona kastē</w:t>
            </w:r>
            <w:r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55350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14567" w:type="dxa"/>
            <w:gridSpan w:val="11"/>
          </w:tcPr>
          <w:p w:rsidR="00DA4515" w:rsidRPr="00295D6A" w:rsidRDefault="00DA4515" w:rsidP="00EA125A">
            <w:pPr>
              <w:jc w:val="right"/>
              <w:rPr>
                <w:sz w:val="20"/>
                <w:szCs w:val="20"/>
              </w:rPr>
            </w:pPr>
            <w:r w:rsidRPr="00295D6A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DA4515" w:rsidRPr="00295D6A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14567" w:type="dxa"/>
            <w:gridSpan w:val="11"/>
          </w:tcPr>
          <w:p w:rsidR="00DA4515" w:rsidRPr="00295D6A" w:rsidRDefault="00DA4515" w:rsidP="00EA1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295D6A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DA4515" w:rsidRPr="00295D6A" w:rsidRDefault="00DA4515" w:rsidP="00EA125A">
            <w:pPr>
              <w:rPr>
                <w:sz w:val="20"/>
                <w:szCs w:val="20"/>
              </w:rPr>
            </w:pPr>
          </w:p>
        </w:tc>
      </w:tr>
    </w:tbl>
    <w:p w:rsidR="00DA4515" w:rsidRDefault="00DA4515" w:rsidP="00DA4515">
      <w:pPr>
        <w:rPr>
          <w:b/>
        </w:rPr>
      </w:pPr>
    </w:p>
    <w:p w:rsidR="00DA4515" w:rsidRDefault="00DA4515" w:rsidP="00697801">
      <w:pPr>
        <w:rPr>
          <w:b/>
        </w:rPr>
      </w:pPr>
      <w:r w:rsidRPr="00BA34AB">
        <w:rPr>
          <w:b/>
        </w:rPr>
        <w:t>Daļa Nr.</w:t>
      </w:r>
      <w:r w:rsidR="00697801">
        <w:rPr>
          <w:b/>
        </w:rPr>
        <w:t>2</w:t>
      </w:r>
      <w:r w:rsidRPr="00BA34AB">
        <w:rPr>
          <w:b/>
        </w:rPr>
        <w:t xml:space="preserve"> SĀLĪTAS ZIVIS UN JŪRAS KĀPOSTI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422"/>
        <w:gridCol w:w="1134"/>
        <w:gridCol w:w="2926"/>
        <w:gridCol w:w="1032"/>
        <w:gridCol w:w="950"/>
        <w:gridCol w:w="1161"/>
        <w:gridCol w:w="1835"/>
        <w:gridCol w:w="1026"/>
        <w:gridCol w:w="1276"/>
        <w:gridCol w:w="1134"/>
        <w:gridCol w:w="1276"/>
      </w:tblGrid>
      <w:tr w:rsidR="00DA4515" w:rsidRPr="00D92495" w:rsidTr="00EA125A">
        <w:trPr>
          <w:trHeight w:val="220"/>
        </w:trPr>
        <w:tc>
          <w:tcPr>
            <w:tcW w:w="671" w:type="dxa"/>
            <w:vMerge w:val="restart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Nr.</w:t>
            </w:r>
          </w:p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p.k.</w:t>
            </w:r>
          </w:p>
        </w:tc>
        <w:tc>
          <w:tcPr>
            <w:tcW w:w="1422" w:type="dxa"/>
            <w:vMerge w:val="restart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Produkti</w:t>
            </w:r>
          </w:p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un to nosaukums</w:t>
            </w:r>
          </w:p>
        </w:tc>
        <w:tc>
          <w:tcPr>
            <w:tcW w:w="1134" w:type="dxa"/>
            <w:vMerge w:val="restart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Plānotais apjoms kg</w:t>
            </w:r>
          </w:p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(12</w:t>
            </w:r>
            <w:r w:rsidRPr="00D4779C">
              <w:rPr>
                <w:b/>
                <w:i/>
                <w:sz w:val="20"/>
                <w:szCs w:val="20"/>
              </w:rPr>
              <w:t>mēn.)</w:t>
            </w:r>
          </w:p>
        </w:tc>
        <w:tc>
          <w:tcPr>
            <w:tcW w:w="2926" w:type="dxa"/>
            <w:vMerge w:val="restart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Pasūtītāja minimālās kvalitātes prasības produktiem</w:t>
            </w:r>
          </w:p>
        </w:tc>
        <w:tc>
          <w:tcPr>
            <w:tcW w:w="7280" w:type="dxa"/>
            <w:gridSpan w:val="6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</w:rPr>
              <w:t>Pretendenta piedāvājums</w:t>
            </w:r>
          </w:p>
        </w:tc>
        <w:tc>
          <w:tcPr>
            <w:tcW w:w="1134" w:type="dxa"/>
            <w:vMerge w:val="restart"/>
          </w:tcPr>
          <w:p w:rsidR="00DA4515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* par 1kg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</w:t>
            </w:r>
          </w:p>
          <w:p w:rsidR="006E02EE" w:rsidRPr="00D4779C" w:rsidRDefault="006E02EE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r>
              <w:rPr>
                <w:b/>
                <w:i/>
                <w:sz w:val="20"/>
                <w:szCs w:val="20"/>
                <w:lang w:val="fr-FR"/>
              </w:rPr>
              <w:t>EURO</w:t>
            </w:r>
          </w:p>
        </w:tc>
        <w:tc>
          <w:tcPr>
            <w:tcW w:w="1276" w:type="dxa"/>
            <w:vMerge w:val="restart"/>
          </w:tcPr>
          <w:p w:rsidR="00DA4515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Kopējā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cena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par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apjomu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4779C">
              <w:rPr>
                <w:b/>
                <w:i/>
                <w:sz w:val="20"/>
                <w:szCs w:val="20"/>
                <w:lang w:val="fr-FR"/>
              </w:rPr>
              <w:t>bez</w:t>
            </w:r>
            <w:proofErr w:type="spellEnd"/>
            <w:r w:rsidRPr="00D4779C">
              <w:rPr>
                <w:b/>
                <w:i/>
                <w:sz w:val="20"/>
                <w:szCs w:val="20"/>
                <w:lang w:val="fr-FR"/>
              </w:rPr>
              <w:t xml:space="preserve"> PVN </w:t>
            </w:r>
          </w:p>
          <w:p w:rsidR="006E02EE" w:rsidRPr="00D4779C" w:rsidRDefault="006E02EE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r>
              <w:rPr>
                <w:b/>
                <w:i/>
                <w:sz w:val="20"/>
                <w:szCs w:val="20"/>
                <w:lang w:val="fr-FR"/>
              </w:rPr>
              <w:t>EURO</w:t>
            </w:r>
          </w:p>
        </w:tc>
      </w:tr>
      <w:tr w:rsidR="00DA4515" w:rsidRPr="00FE5BA7" w:rsidTr="00EA125A">
        <w:trPr>
          <w:trHeight w:val="131"/>
        </w:trPr>
        <w:tc>
          <w:tcPr>
            <w:tcW w:w="671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80" w:type="dxa"/>
            <w:gridSpan w:val="6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A4515" w:rsidRPr="00FE5BA7" w:rsidTr="00EA125A">
        <w:trPr>
          <w:trHeight w:val="598"/>
        </w:trPr>
        <w:tc>
          <w:tcPr>
            <w:tcW w:w="671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izcelsmes valsts</w:t>
            </w:r>
          </w:p>
        </w:tc>
        <w:tc>
          <w:tcPr>
            <w:tcW w:w="950" w:type="dxa"/>
          </w:tcPr>
          <w:p w:rsidR="00DA4515" w:rsidRPr="00D4779C" w:rsidRDefault="00697801" w:rsidP="00EA125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Produk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DA4515" w:rsidRPr="00D4779C">
              <w:rPr>
                <w:b/>
                <w:i/>
                <w:sz w:val="20"/>
                <w:szCs w:val="20"/>
              </w:rPr>
              <w:t>ražotājs</w:t>
            </w:r>
          </w:p>
        </w:tc>
        <w:tc>
          <w:tcPr>
            <w:tcW w:w="1161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produkta nosaukums</w:t>
            </w:r>
          </w:p>
        </w:tc>
        <w:tc>
          <w:tcPr>
            <w:tcW w:w="1835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piedāvātā produkta kvalitātes apraksts</w:t>
            </w:r>
          </w:p>
        </w:tc>
        <w:tc>
          <w:tcPr>
            <w:tcW w:w="1026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fasējums</w:t>
            </w:r>
          </w:p>
        </w:tc>
        <w:tc>
          <w:tcPr>
            <w:tcW w:w="1276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iepakojums</w:t>
            </w:r>
          </w:p>
        </w:tc>
        <w:tc>
          <w:tcPr>
            <w:tcW w:w="1134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Merge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</w:tc>
      </w:tr>
      <w:tr w:rsidR="00DA4515" w:rsidRPr="004E5FF5" w:rsidTr="00EA125A">
        <w:tc>
          <w:tcPr>
            <w:tcW w:w="671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422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926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</w:rPr>
            </w:pPr>
            <w:r w:rsidRPr="00D4779C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32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  <w:lang w:val="en-US"/>
              </w:rPr>
              <w:t>5.1</w:t>
            </w:r>
          </w:p>
        </w:tc>
        <w:tc>
          <w:tcPr>
            <w:tcW w:w="950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  <w:lang w:val="en-US"/>
              </w:rPr>
              <w:t>5.2</w:t>
            </w:r>
          </w:p>
        </w:tc>
        <w:tc>
          <w:tcPr>
            <w:tcW w:w="1161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  <w:lang w:val="en-US"/>
              </w:rPr>
              <w:t>5.3</w:t>
            </w:r>
          </w:p>
        </w:tc>
        <w:tc>
          <w:tcPr>
            <w:tcW w:w="1835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  <w:lang w:val="en-US"/>
              </w:rPr>
              <w:t>5.4</w:t>
            </w:r>
          </w:p>
        </w:tc>
        <w:tc>
          <w:tcPr>
            <w:tcW w:w="1026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  <w:lang w:val="en-US"/>
              </w:rPr>
              <w:t>5.5</w:t>
            </w:r>
          </w:p>
        </w:tc>
        <w:tc>
          <w:tcPr>
            <w:tcW w:w="1276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4779C">
              <w:rPr>
                <w:b/>
                <w:i/>
                <w:sz w:val="20"/>
                <w:szCs w:val="20"/>
                <w:lang w:val="en-US"/>
              </w:rPr>
              <w:t>5.6</w:t>
            </w:r>
          </w:p>
        </w:tc>
        <w:tc>
          <w:tcPr>
            <w:tcW w:w="1134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D4779C">
              <w:rPr>
                <w:b/>
                <w:i/>
                <w:sz w:val="20"/>
                <w:szCs w:val="20"/>
                <w:lang w:val="fr-FR"/>
              </w:rPr>
              <w:t>6.</w:t>
            </w:r>
          </w:p>
        </w:tc>
        <w:tc>
          <w:tcPr>
            <w:tcW w:w="1276" w:type="dxa"/>
          </w:tcPr>
          <w:p w:rsidR="00DA4515" w:rsidRPr="00D4779C" w:rsidRDefault="00DA4515" w:rsidP="00EA125A">
            <w:pPr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D4779C">
              <w:rPr>
                <w:b/>
                <w:i/>
                <w:sz w:val="20"/>
                <w:szCs w:val="20"/>
                <w:lang w:val="fr-FR"/>
              </w:rPr>
              <w:t>7.</w:t>
            </w:r>
          </w:p>
        </w:tc>
      </w:tr>
      <w:tr w:rsidR="00DA4515" w:rsidRPr="00D92495" w:rsidTr="00EA125A">
        <w:tc>
          <w:tcPr>
            <w:tcW w:w="671" w:type="dxa"/>
          </w:tcPr>
          <w:p w:rsidR="00DA4515" w:rsidRPr="00D4779C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515" w:rsidRPr="00D4779C">
              <w:rPr>
                <w:sz w:val="20"/>
                <w:szCs w:val="20"/>
              </w:rPr>
              <w:t>.1</w:t>
            </w:r>
          </w:p>
        </w:tc>
        <w:tc>
          <w:tcPr>
            <w:tcW w:w="1422" w:type="dxa"/>
          </w:tcPr>
          <w:p w:rsidR="00DA4515" w:rsidRPr="00D4779C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D4779C">
              <w:rPr>
                <w:b/>
                <w:sz w:val="20"/>
              </w:rPr>
              <w:t>Siļķu fileja</w:t>
            </w:r>
          </w:p>
        </w:tc>
        <w:tc>
          <w:tcPr>
            <w:tcW w:w="1134" w:type="dxa"/>
          </w:tcPr>
          <w:p w:rsidR="00DA4515" w:rsidRPr="00D4779C" w:rsidRDefault="00DA4515" w:rsidP="00EA125A">
            <w:pPr>
              <w:jc w:val="center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2000</w:t>
            </w:r>
          </w:p>
        </w:tc>
        <w:tc>
          <w:tcPr>
            <w:tcW w:w="2926" w:type="dxa"/>
          </w:tcPr>
          <w:p w:rsidR="00DA4515" w:rsidRPr="003C2D88" w:rsidRDefault="00DA4515" w:rsidP="00EA125A">
            <w:pPr>
              <w:pStyle w:val="NormalWeb"/>
              <w:jc w:val="both"/>
            </w:pPr>
            <w:r>
              <w:rPr>
                <w:b/>
                <w:sz w:val="20"/>
              </w:rPr>
              <w:t xml:space="preserve">Mazsālīta </w:t>
            </w:r>
            <w:r w:rsidRPr="009C1338">
              <w:rPr>
                <w:b/>
                <w:sz w:val="20"/>
                <w:szCs w:val="20"/>
              </w:rPr>
              <w:t>(</w:t>
            </w:r>
            <w:r w:rsidRPr="009C1338">
              <w:rPr>
                <w:sz w:val="20"/>
                <w:szCs w:val="20"/>
              </w:rPr>
              <w:t>uz 100 gramiem produkta</w:t>
            </w:r>
            <w:proofErr w:type="gramStart"/>
            <w:r w:rsidRPr="009C1338">
              <w:rPr>
                <w:sz w:val="20"/>
                <w:szCs w:val="20"/>
              </w:rPr>
              <w:t xml:space="preserve">  </w:t>
            </w:r>
            <w:proofErr w:type="gramEnd"/>
            <w:r w:rsidRPr="009C1338">
              <w:rPr>
                <w:sz w:val="20"/>
                <w:szCs w:val="20"/>
              </w:rPr>
              <w:t>satur 1,5 gramus sāls). Fileja eļļā, bez ādas,</w:t>
            </w:r>
            <w:proofErr w:type="gramStart"/>
            <w:r w:rsidRPr="009C1338">
              <w:rPr>
                <w:sz w:val="20"/>
                <w:szCs w:val="20"/>
              </w:rPr>
              <w:t xml:space="preserve">  </w:t>
            </w:r>
            <w:proofErr w:type="gramEnd"/>
            <w:r w:rsidRPr="009C1338">
              <w:rPr>
                <w:sz w:val="20"/>
                <w:szCs w:val="20"/>
              </w:rPr>
              <w:t>bez asakām, bez asām piedevām, bez redzamiem</w:t>
            </w:r>
            <w:r>
              <w:rPr>
                <w:sz w:val="20"/>
              </w:rPr>
              <w:t xml:space="preserve"> bojājumiem. </w:t>
            </w:r>
            <w:r w:rsidRPr="00D4779C">
              <w:rPr>
                <w:sz w:val="20"/>
              </w:rPr>
              <w:t>Fasējums no 1 līdz 5 kg, tīros plastmasas spaiņos</w:t>
            </w:r>
            <w:proofErr w:type="gramStart"/>
            <w:r w:rsidRPr="00D4779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</w:p>
        </w:tc>
        <w:tc>
          <w:tcPr>
            <w:tcW w:w="1032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</w:tr>
      <w:tr w:rsidR="00DA4515" w:rsidRPr="00D92495" w:rsidTr="00EA125A">
        <w:tc>
          <w:tcPr>
            <w:tcW w:w="671" w:type="dxa"/>
          </w:tcPr>
          <w:p w:rsidR="00DA4515" w:rsidRPr="00D4779C" w:rsidRDefault="00697801" w:rsidP="00EA1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515" w:rsidRPr="003C2D88">
              <w:rPr>
                <w:sz w:val="20"/>
                <w:szCs w:val="20"/>
                <w:lang w:val="fr-FR"/>
              </w:rPr>
              <w:t>.</w:t>
            </w:r>
            <w:r w:rsidR="00DA4515" w:rsidRPr="00D4779C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DA4515" w:rsidRPr="00D4779C" w:rsidRDefault="00DA4515" w:rsidP="00EA125A">
            <w:pPr>
              <w:pStyle w:val="BlockText"/>
              <w:ind w:left="0" w:right="-52" w:firstLine="0"/>
              <w:jc w:val="left"/>
              <w:rPr>
                <w:b/>
                <w:sz w:val="20"/>
              </w:rPr>
            </w:pPr>
            <w:r w:rsidRPr="00D4779C">
              <w:rPr>
                <w:b/>
                <w:sz w:val="20"/>
              </w:rPr>
              <w:t>Jūras kāposti</w:t>
            </w:r>
          </w:p>
        </w:tc>
        <w:tc>
          <w:tcPr>
            <w:tcW w:w="1134" w:type="dxa"/>
          </w:tcPr>
          <w:p w:rsidR="00DA4515" w:rsidRPr="00D4779C" w:rsidRDefault="00DA4515" w:rsidP="00EA125A">
            <w:pPr>
              <w:pStyle w:val="BlockText"/>
              <w:ind w:left="0" w:right="-52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926" w:type="dxa"/>
          </w:tcPr>
          <w:p w:rsidR="00DA4515" w:rsidRPr="00D4779C" w:rsidRDefault="00DA4515" w:rsidP="00EA125A">
            <w:pPr>
              <w:pStyle w:val="BlockText"/>
              <w:ind w:left="0" w:right="32" w:firstLine="0"/>
              <w:rPr>
                <w:sz w:val="20"/>
              </w:rPr>
            </w:pPr>
            <w:r>
              <w:rPr>
                <w:sz w:val="20"/>
              </w:rPr>
              <w:t xml:space="preserve">Konservēti, </w:t>
            </w:r>
            <w:proofErr w:type="spellStart"/>
            <w:r w:rsidRPr="003C2D88">
              <w:rPr>
                <w:sz w:val="20"/>
                <w:lang w:val="fr-FR"/>
              </w:rPr>
              <w:t>augstākā</w:t>
            </w:r>
            <w:proofErr w:type="spellEnd"/>
            <w:proofErr w:type="gramStart"/>
            <w:r>
              <w:rPr>
                <w:sz w:val="20"/>
                <w:lang w:val="fr-FR"/>
              </w:rPr>
              <w:t xml:space="preserve"> </w:t>
            </w:r>
            <w:r w:rsidRPr="003C2D88">
              <w:rPr>
                <w:sz w:val="20"/>
                <w:lang w:val="fr-FR"/>
              </w:rPr>
              <w:t xml:space="preserve"> </w:t>
            </w:r>
            <w:proofErr w:type="spellStart"/>
            <w:proofErr w:type="gramEnd"/>
            <w:r w:rsidRPr="003C2D88">
              <w:rPr>
                <w:sz w:val="20"/>
                <w:lang w:val="fr-FR"/>
              </w:rPr>
              <w:t>labuma</w:t>
            </w:r>
            <w:proofErr w:type="spellEnd"/>
            <w:r w:rsidRPr="003C2D88">
              <w:rPr>
                <w:sz w:val="20"/>
                <w:lang w:val="fr-FR"/>
              </w:rPr>
              <w:t xml:space="preserve">. </w:t>
            </w:r>
            <w:r w:rsidRPr="00D4779C">
              <w:rPr>
                <w:sz w:val="20"/>
              </w:rPr>
              <w:t>fasējums no 1 līdz 3 kg</w:t>
            </w:r>
            <w:r>
              <w:rPr>
                <w:sz w:val="20"/>
              </w:rPr>
              <w:t xml:space="preserve">,  tīros </w:t>
            </w:r>
            <w:r w:rsidRPr="00D567E6">
              <w:rPr>
                <w:sz w:val="20"/>
              </w:rPr>
              <w:t>plastmasas spaiņos</w:t>
            </w:r>
            <w:r w:rsidRPr="008216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ar etiķeti</w:t>
            </w:r>
            <w:r w:rsidRPr="00821617">
              <w:rPr>
                <w:sz w:val="20"/>
              </w:rPr>
              <w:t xml:space="preserve"> ar realizācijas datumu un glabāšanas T</w:t>
            </w:r>
            <w:r w:rsidRPr="00821617">
              <w:rPr>
                <w:sz w:val="20"/>
                <w:vertAlign w:val="superscript"/>
              </w:rPr>
              <w:t>o</w:t>
            </w:r>
            <w:r>
              <w:rPr>
                <w:sz w:val="20"/>
                <w:vertAlign w:val="superscript"/>
              </w:rPr>
              <w:t>,</w:t>
            </w:r>
          </w:p>
        </w:tc>
        <w:tc>
          <w:tcPr>
            <w:tcW w:w="1032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50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61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35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26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DA4515" w:rsidRPr="003C2D88" w:rsidRDefault="00DA4515" w:rsidP="00EA125A">
            <w:pPr>
              <w:rPr>
                <w:sz w:val="20"/>
                <w:szCs w:val="20"/>
                <w:lang w:val="fr-FR"/>
              </w:rPr>
            </w:pPr>
          </w:p>
        </w:tc>
      </w:tr>
      <w:tr w:rsidR="00DA4515" w:rsidRPr="00D92495" w:rsidTr="00EA125A">
        <w:tc>
          <w:tcPr>
            <w:tcW w:w="14567" w:type="dxa"/>
            <w:gridSpan w:val="11"/>
          </w:tcPr>
          <w:p w:rsidR="00DA4515" w:rsidRPr="00D4779C" w:rsidRDefault="00DA4515" w:rsidP="00EA125A">
            <w:pPr>
              <w:jc w:val="right"/>
              <w:rPr>
                <w:sz w:val="20"/>
                <w:szCs w:val="20"/>
              </w:rPr>
            </w:pPr>
            <w:r w:rsidRPr="00D4779C">
              <w:rPr>
                <w:sz w:val="20"/>
                <w:szCs w:val="20"/>
              </w:rPr>
              <w:t>Kopējā cena daļā bez PVN:</w:t>
            </w:r>
          </w:p>
        </w:tc>
        <w:tc>
          <w:tcPr>
            <w:tcW w:w="1276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</w:tr>
      <w:tr w:rsidR="00DA4515" w:rsidRPr="00D92495" w:rsidTr="00EA125A">
        <w:tc>
          <w:tcPr>
            <w:tcW w:w="14567" w:type="dxa"/>
            <w:gridSpan w:val="11"/>
          </w:tcPr>
          <w:p w:rsidR="00DA4515" w:rsidRPr="00D4779C" w:rsidRDefault="00DA4515" w:rsidP="00EA12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Kopējā cena daļā ar PVN 21</w:t>
            </w:r>
            <w:r w:rsidRPr="00D4779C">
              <w:rPr>
                <w:sz w:val="20"/>
                <w:szCs w:val="20"/>
              </w:rPr>
              <w:t>%:</w:t>
            </w:r>
          </w:p>
        </w:tc>
        <w:tc>
          <w:tcPr>
            <w:tcW w:w="1276" w:type="dxa"/>
          </w:tcPr>
          <w:p w:rsidR="00DA4515" w:rsidRPr="00D4779C" w:rsidRDefault="00DA4515" w:rsidP="00EA125A">
            <w:pPr>
              <w:rPr>
                <w:sz w:val="20"/>
                <w:szCs w:val="20"/>
              </w:rPr>
            </w:pPr>
          </w:p>
        </w:tc>
      </w:tr>
    </w:tbl>
    <w:p w:rsidR="00697801" w:rsidRDefault="00697801" w:rsidP="00697801">
      <w:pPr>
        <w:pStyle w:val="ListParagraph"/>
        <w:rPr>
          <w:lang w:val="fr-FR"/>
        </w:rPr>
      </w:pPr>
      <w:r>
        <w:rPr>
          <w:lang w:val="fr-FR"/>
        </w:rPr>
        <w:t>*</w:t>
      </w:r>
      <w:proofErr w:type="spellStart"/>
      <w:r>
        <w:rPr>
          <w:lang w:val="fr-FR"/>
        </w:rPr>
        <w:t>Cenas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norādīt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precizitāti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divi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cipari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aiz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komata</w:t>
      </w:r>
      <w:proofErr w:type="spellEnd"/>
    </w:p>
    <w:p w:rsidR="00697801" w:rsidRPr="00697801" w:rsidRDefault="00697801" w:rsidP="00697801">
      <w:pPr>
        <w:rPr>
          <w:lang w:val="fr-FR"/>
        </w:rPr>
      </w:pPr>
    </w:p>
    <w:p w:rsidR="00697801" w:rsidRPr="006C654C" w:rsidRDefault="00697801" w:rsidP="00697801">
      <w:pPr>
        <w:pStyle w:val="ListParagraph"/>
        <w:rPr>
          <w:lang w:val="fr-FR"/>
        </w:rPr>
      </w:pPr>
      <w:proofErr w:type="spellStart"/>
      <w:r>
        <w:rPr>
          <w:lang w:val="fr-FR"/>
        </w:rPr>
        <w:t>Sastādīja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Izglītības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pārvaldes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saimnieciskā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nodrošinājuma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nodaļas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sagādniece</w:t>
      </w:r>
      <w:proofErr w:type="spellEnd"/>
      <w:r>
        <w:rPr>
          <w:lang w:val="fr-FR"/>
        </w:rPr>
        <w:t xml:space="preserve">                                              </w:t>
      </w:r>
      <w:proofErr w:type="spellStart"/>
      <w:r>
        <w:rPr>
          <w:lang w:val="fr-FR"/>
        </w:rPr>
        <w:t>N.Fjodorova</w:t>
      </w:r>
      <w:proofErr w:type="spellEnd"/>
      <w:r>
        <w:rPr>
          <w:lang w:val="fr-FR"/>
        </w:rPr>
        <w:t xml:space="preserve"> 65424600 </w:t>
      </w:r>
    </w:p>
    <w:p w:rsidR="00697801" w:rsidRPr="00697801" w:rsidRDefault="00697801" w:rsidP="00DA4515">
      <w:pPr>
        <w:rPr>
          <w:b/>
          <w:lang w:val="fr-FR"/>
        </w:rPr>
      </w:pPr>
    </w:p>
    <w:p w:rsidR="0078468A" w:rsidRPr="00DA4515" w:rsidRDefault="0078468A" w:rsidP="00DA4515"/>
    <w:sectPr w:rsidR="0078468A" w:rsidRPr="00DA4515" w:rsidSect="00AC2E04">
      <w:pgSz w:w="16838" w:h="11906" w:orient="landscape"/>
      <w:pgMar w:top="123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2E04"/>
    <w:rsid w:val="000F39C7"/>
    <w:rsid w:val="00100335"/>
    <w:rsid w:val="002F5B0D"/>
    <w:rsid w:val="00430C06"/>
    <w:rsid w:val="00503681"/>
    <w:rsid w:val="00623DDC"/>
    <w:rsid w:val="00697801"/>
    <w:rsid w:val="006E02EE"/>
    <w:rsid w:val="00740AB5"/>
    <w:rsid w:val="0078468A"/>
    <w:rsid w:val="00881DA7"/>
    <w:rsid w:val="008A0773"/>
    <w:rsid w:val="00AC2E04"/>
    <w:rsid w:val="00D80BBF"/>
    <w:rsid w:val="00DA4515"/>
    <w:rsid w:val="00E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C2E04"/>
    <w:pPr>
      <w:ind w:left="1134" w:right="1508" w:firstLine="851"/>
      <w:jc w:val="both"/>
    </w:pPr>
    <w:rPr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olga plepe</cp:lastModifiedBy>
  <cp:revision>12</cp:revision>
  <dcterms:created xsi:type="dcterms:W3CDTF">2015-01-15T09:48:00Z</dcterms:created>
  <dcterms:modified xsi:type="dcterms:W3CDTF">2015-01-20T07:19:00Z</dcterms:modified>
</cp:coreProperties>
</file>